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12" w:rsidRPr="00B60AB6" w:rsidRDefault="00B60AB6" w:rsidP="00C41712">
      <w:pPr>
        <w:suppressAutoHyphens/>
        <w:jc w:val="both"/>
        <w:rPr>
          <w:lang w:eastAsia="ar-SA"/>
        </w:rPr>
      </w:pPr>
      <w:bookmarkStart w:id="0" w:name="_GoBack"/>
      <w:bookmarkEnd w:id="0"/>
      <w:r w:rsidRPr="00B60AB6">
        <w:t xml:space="preserve">             </w:t>
      </w:r>
      <w:proofErr w:type="gramStart"/>
      <w:r w:rsidR="00C41712" w:rsidRPr="00B60AB6">
        <w:t>В соответствии с требованиями пункта 9 федерального стандарта бухгалтерского учета для организаций государственного сектора « Учетная политика, оценочные значения и ошибки», утвержденног</w:t>
      </w:r>
      <w:r w:rsidR="00375169">
        <w:t>о приказом Минфина России от 30.12.</w:t>
      </w:r>
      <w:r w:rsidR="00C41712" w:rsidRPr="00B60AB6">
        <w:t xml:space="preserve">2017г. № 274н, представляется информация об учетной политике учреждения </w:t>
      </w:r>
      <w:r w:rsidR="00C41712" w:rsidRPr="00B60AB6">
        <w:rPr>
          <w:lang w:eastAsia="ar-SA"/>
        </w:rPr>
        <w:t>Муниципальное бюджетное учрежд</w:t>
      </w:r>
      <w:r w:rsidR="00D1251F">
        <w:rPr>
          <w:lang w:eastAsia="ar-SA"/>
        </w:rPr>
        <w:t>ение   «Социокультурный досуговый комплекс</w:t>
      </w:r>
      <w:r w:rsidR="00C41712" w:rsidRPr="00B60AB6">
        <w:rPr>
          <w:lang w:eastAsia="ar-SA"/>
        </w:rPr>
        <w:t xml:space="preserve"> » городского округа  Чапаевск, которая утверждена приказом от </w:t>
      </w:r>
      <w:r w:rsidR="00C819DB">
        <w:rPr>
          <w:lang w:eastAsia="ar-SA"/>
        </w:rPr>
        <w:t xml:space="preserve">31 декабря 2019 г. № 413 </w:t>
      </w:r>
      <w:r w:rsidR="00C41712" w:rsidRPr="00B60AB6">
        <w:rPr>
          <w:lang w:eastAsia="ar-SA"/>
        </w:rPr>
        <w:t>и состоит из следующих разделов:</w:t>
      </w:r>
      <w:proofErr w:type="gramEnd"/>
    </w:p>
    <w:p w:rsidR="00C41712" w:rsidRPr="00B60AB6" w:rsidRDefault="00C41712" w:rsidP="00C41712">
      <w:pPr>
        <w:suppressAutoHyphens/>
        <w:jc w:val="both"/>
        <w:rPr>
          <w:lang w:eastAsia="ar-S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195"/>
      </w:tblGrid>
      <w:tr w:rsidR="00C41712" w:rsidRPr="00B60AB6" w:rsidTr="00B24C06">
        <w:tc>
          <w:tcPr>
            <w:tcW w:w="3119" w:type="dxa"/>
            <w:vAlign w:val="center"/>
          </w:tcPr>
          <w:p w:rsidR="00C41712" w:rsidRPr="00B60AB6" w:rsidRDefault="00C41712" w:rsidP="00C41712">
            <w:pPr>
              <w:suppressAutoHyphens/>
              <w:jc w:val="center"/>
              <w:rPr>
                <w:b/>
                <w:lang w:eastAsia="ar-SA"/>
              </w:rPr>
            </w:pPr>
            <w:r w:rsidRPr="00B60AB6">
              <w:rPr>
                <w:b/>
                <w:lang w:eastAsia="ar-SA"/>
              </w:rPr>
              <w:t>Наименование раздела</w:t>
            </w:r>
          </w:p>
        </w:tc>
        <w:tc>
          <w:tcPr>
            <w:tcW w:w="7195" w:type="dxa"/>
            <w:vAlign w:val="center"/>
          </w:tcPr>
          <w:p w:rsidR="00C41712" w:rsidRPr="00B60AB6" w:rsidRDefault="00C41712" w:rsidP="00C41712">
            <w:pPr>
              <w:suppressAutoHyphens/>
              <w:jc w:val="center"/>
              <w:rPr>
                <w:b/>
                <w:lang w:eastAsia="ar-SA"/>
              </w:rPr>
            </w:pPr>
            <w:r w:rsidRPr="00B60AB6">
              <w:rPr>
                <w:b/>
                <w:lang w:eastAsia="ar-SA"/>
              </w:rPr>
              <w:t>Основные положения</w:t>
            </w:r>
          </w:p>
        </w:tc>
      </w:tr>
      <w:tr w:rsidR="00791991" w:rsidRPr="00B60AB6" w:rsidTr="00A67474">
        <w:tc>
          <w:tcPr>
            <w:tcW w:w="10314" w:type="dxa"/>
            <w:gridSpan w:val="2"/>
            <w:vAlign w:val="center"/>
          </w:tcPr>
          <w:p w:rsidR="00791991" w:rsidRPr="00B60AB6" w:rsidRDefault="00791991" w:rsidP="00C41712">
            <w:pPr>
              <w:suppressAutoHyphens/>
              <w:jc w:val="center"/>
              <w:rPr>
                <w:b/>
                <w:lang w:eastAsia="ar-SA"/>
              </w:rPr>
            </w:pPr>
            <w:r w:rsidRPr="00B60AB6">
              <w:rPr>
                <w:b/>
                <w:lang w:eastAsia="ar-SA"/>
              </w:rPr>
              <w:t>Учетная политика для целей бухгалтерского учета</w:t>
            </w:r>
          </w:p>
        </w:tc>
      </w:tr>
      <w:tr w:rsidR="00C41712" w:rsidRPr="00B60AB6" w:rsidTr="00791991">
        <w:tc>
          <w:tcPr>
            <w:tcW w:w="3119" w:type="dxa"/>
          </w:tcPr>
          <w:p w:rsidR="00B464C4" w:rsidRPr="00B464C4" w:rsidRDefault="00B24C06" w:rsidP="00B464C4">
            <w:pPr>
              <w:rPr>
                <w:lang w:eastAsia="ar-SA"/>
              </w:rPr>
            </w:pPr>
            <w:r w:rsidRPr="00B60AB6">
              <w:rPr>
                <w:lang w:eastAsia="ar-SA"/>
              </w:rPr>
              <w:t>1.</w:t>
            </w:r>
            <w:r w:rsidR="00B464C4">
              <w:t xml:space="preserve"> </w:t>
            </w:r>
            <w:r w:rsidR="00B464C4" w:rsidRPr="00B464C4">
              <w:rPr>
                <w:lang w:eastAsia="ar-SA"/>
              </w:rPr>
              <w:t xml:space="preserve"> Общие вопросы организации бухгалтерского учета.</w:t>
            </w:r>
          </w:p>
          <w:p w:rsidR="00C41712" w:rsidRPr="00B60AB6" w:rsidRDefault="00C41712" w:rsidP="00791991">
            <w:pPr>
              <w:suppressAutoHyphens/>
              <w:rPr>
                <w:lang w:eastAsia="ar-SA"/>
              </w:rPr>
            </w:pPr>
          </w:p>
        </w:tc>
        <w:tc>
          <w:tcPr>
            <w:tcW w:w="7195" w:type="dxa"/>
          </w:tcPr>
          <w:p w:rsidR="00B464C4" w:rsidRDefault="00B464C4" w:rsidP="00B464C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Раздел содержит</w:t>
            </w:r>
            <w:proofErr w:type="gramStart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нормативно-правовых актов Российской Федерации, устанавливающий правовые основы организации и ведения бухгалтерского учета.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ответственных лиц за организацию бухгалтерского учета в учреждении и соблюдение законодательства. 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Деятельность бухгалтерии регламентируется должностными инструкциями сотрудников бухгалтерии (ч.3 ст.7 Закона № 402-ФЗ).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ведется автоматизировано по рабочему плану счетов (Приложение № 3) в соответствии с Инструкцией № 157н, Инструкцией № 174н. 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используемые </w:t>
            </w:r>
            <w:proofErr w:type="spellStart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 счета. 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план счетов </w:t>
            </w:r>
            <w:proofErr w:type="spellStart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 учета утверждается в целом по учреждению (Приложение № 4).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Журналам операций присваиваются номера согласно Приложению № 5. 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формы первичных учетных документов и регистры бухгалтерского учета, утвержденные Приказом МФ РФ от 15.12.2010 № 173н (Приложение № 1). 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юридическими, физическими лицами при приеме наличных денежных средств осуществляются с использованием бланков строгой отчетности (форма входных билетов для культурно-просветительских учреждений, установленных Приказов Минфина России от 25.02.2000 № 20н, квитанция форма № 10, утвержденная приказом Минфина </w:t>
            </w:r>
            <w:r w:rsidR="00C819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 от 30.03.2015 г. 52 н).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Лимит остатка кассы учреждения утверждается соответствующим приказом. Приложение № 2.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лиц, имеющих право подписи первичных учетных документов, счетов-фактур, денежных и расчетных документов, финансовых и кредитных обязатель</w:t>
            </w:r>
            <w:proofErr w:type="gramStart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еделах и на основании, определенных законом. Приложение № 6.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лиц, имеющих право получения доверенностей. Приложение № 7.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выдаче наличных денежных средств в подотчет и представлении отчетности подотчетными лицами и Положением о выдаче бланков строгой отчетности (Приложение № 8.</w:t>
            </w:r>
            <w:proofErr w:type="gramEnd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9).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Положение об инвентаризации. Приложение № 12.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</w:t>
            </w:r>
            <w:proofErr w:type="gramStart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 w:rsidRPr="00B464C4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инвентаризационной комиссия. Приложение № 13.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Периодичность формирования регистров бюджетного учета на бумажных носителях осуществляется согласно Приложению № 14.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 осуществляется согласно Положению о повышении квалификации. Приложение № 15.</w:t>
            </w:r>
          </w:p>
          <w:p w:rsidR="00B464C4" w:rsidRPr="00B464C4" w:rsidRDefault="00B464C4" w:rsidP="00B464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4">
              <w:rPr>
                <w:rFonts w:ascii="Times New Roman" w:hAnsi="Times New Roman" w:cs="Times New Roman"/>
                <w:sz w:val="24"/>
                <w:szCs w:val="24"/>
              </w:rPr>
              <w:t>Движение первичных документов регламентируется утвержденным в учреждении графиком документооборота. Приложение № 18.</w:t>
            </w:r>
          </w:p>
          <w:p w:rsidR="00C41712" w:rsidRPr="00B60AB6" w:rsidRDefault="00C41712" w:rsidP="00C41712">
            <w:pPr>
              <w:suppressAutoHyphens/>
              <w:jc w:val="both"/>
              <w:rPr>
                <w:lang w:eastAsia="ar-SA"/>
              </w:rPr>
            </w:pPr>
          </w:p>
        </w:tc>
      </w:tr>
      <w:tr w:rsidR="00C41712" w:rsidRPr="00B60AB6" w:rsidTr="00B24C06">
        <w:tc>
          <w:tcPr>
            <w:tcW w:w="3119" w:type="dxa"/>
          </w:tcPr>
          <w:p w:rsidR="00B464C4" w:rsidRDefault="00B464C4" w:rsidP="00C41712">
            <w:pPr>
              <w:suppressAutoHyphens/>
              <w:jc w:val="both"/>
            </w:pPr>
            <w:r>
              <w:rPr>
                <w:lang w:eastAsia="ar-SA"/>
              </w:rPr>
              <w:lastRenderedPageBreak/>
              <w:t>2.</w:t>
            </w:r>
            <w:r w:rsidRPr="00B464C4">
              <w:rPr>
                <w:lang w:eastAsia="ar-SA"/>
              </w:rPr>
              <w:t xml:space="preserve"> Общие правила ведения бухгалтерского учета.</w:t>
            </w:r>
            <w:r>
              <w:t xml:space="preserve"> </w:t>
            </w:r>
          </w:p>
          <w:p w:rsidR="00B464C4" w:rsidRPr="00B60AB6" w:rsidRDefault="00B464C4" w:rsidP="00B464C4">
            <w:pPr>
              <w:suppressAutoHyphens/>
              <w:rPr>
                <w:lang w:eastAsia="ar-SA"/>
              </w:rPr>
            </w:pPr>
          </w:p>
        </w:tc>
        <w:tc>
          <w:tcPr>
            <w:tcW w:w="7195" w:type="dxa"/>
          </w:tcPr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1.Учет основных средств и нематериальных активов.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учет основных средств ведется по отдельным инвентарным объектам в разрезе групп основных средств по материально-ответственным лицам.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утверждается состав и обязанности постоянно действующей комиссии для принятия на учет вновь поступивших объектов основных средств и нематериальных активов.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утверждается Положение о работе комиссии (Приложение № 17).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амортизация начисляется на Основании: п. 85 Инструкции № 157н):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 Учет материальных запасов.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материальные запасы, приобретенные за плату, учитываются   по фактической стоимости приобретения.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списание осуществляется  по акту  (ф. 0504143), (ф.504230) и ведомости (Ф.504210)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учет подарков, сувенирной продукции, цветов, приобретаемых для проведения торжественных и публичных массовых мероприятий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нормы расхода ГСМ разрабатываются учреждением самостоятельно на основании Методических рекомендаций «Нормы расхода топлив и смазочных материалов на автомобильном транспорте», введенных в действие Распоряжением Минтранса России от 14.03.2008 № АМ-23-р. Данные нормы утверждаются отдельным приказом руководителя.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3. Учет денежных средств и денежных документов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учет денежных средств осуществляется в соответствии с требованиями, установленными Порядком ведения кассовых операций в РФ</w:t>
            </w:r>
            <w:proofErr w:type="gramStart"/>
            <w:r>
              <w:rPr>
                <w:lang w:eastAsia="ar-SA"/>
              </w:rPr>
              <w:t>.(</w:t>
            </w:r>
            <w:proofErr w:type="spellStart"/>
            <w:proofErr w:type="gramEnd"/>
            <w:r>
              <w:rPr>
                <w:lang w:eastAsia="ar-SA"/>
              </w:rPr>
              <w:t>Основание:Указания</w:t>
            </w:r>
            <w:proofErr w:type="spellEnd"/>
            <w:r>
              <w:rPr>
                <w:lang w:eastAsia="ar-SA"/>
              </w:rPr>
              <w:t xml:space="preserve"> Банка России №3210-У).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кассовая книга учреждения ведется автоматизированным способом. (Основание: п.4.7 Указания Банка России № 3210-У).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4. Расчеты с дебиторами.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начисление доходов от поступления субсидий на финансовое обеспечение выполнения государственного задания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поступление субсидий на финансовое обеспечение выполнения государственного задания на лицевой счет учреждения </w:t>
            </w:r>
            <w:r>
              <w:rPr>
                <w:lang w:eastAsia="ar-SA"/>
              </w:rPr>
              <w:lastRenderedPageBreak/>
              <w:t>(</w:t>
            </w:r>
            <w:proofErr w:type="spellStart"/>
            <w:r>
              <w:rPr>
                <w:lang w:eastAsia="ar-SA"/>
              </w:rPr>
              <w:t>Основание</w:t>
            </w:r>
            <w:proofErr w:type="gramStart"/>
            <w:r>
              <w:rPr>
                <w:lang w:eastAsia="ar-SA"/>
              </w:rPr>
              <w:t>:У</w:t>
            </w:r>
            <w:proofErr w:type="gramEnd"/>
            <w:r>
              <w:rPr>
                <w:lang w:eastAsia="ar-SA"/>
              </w:rPr>
              <w:t>казания</w:t>
            </w:r>
            <w:proofErr w:type="spellEnd"/>
            <w:r>
              <w:rPr>
                <w:lang w:eastAsia="ar-SA"/>
              </w:rPr>
              <w:t xml:space="preserve"> о порядке применения бюджетной классификации Российской Федерации, утвержденные Приказом Минфина России от 01.07.2013 №65н).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поступление доходов в виде пожертвований, грантов (Основание: п.72 Инструкции № 174н).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5. Расчеты с учредителями.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изменение показателей, отраженных на счетах 421006000 и 221006000, производится в последний рабочий день каждого квартала в корреспонденции с соответствующими счетами 440110172 и 240110172 в порядке,  приведенном в Письме Минфина России от 18.09.2012 № 02-06-07/3798.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на сумму изменений учреждением составляется и направляется учредителю Извещение (ф. 0504805).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показатель счета 421006000 «Расчеты с учредителем» должен равняться сумме остатков по счетам 410110000, 410120000, 410220000, 410520000 на первое число месяца, следующего за отчетным кварталом.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показатель счета 221006000 должен равняться балансовой стоимости особо ценного движимого имущества, приобретенного учреждением до изменения его типа и закрепленного за учреждением (счета 210120000, 210220000, 210520000 в части этого имущества), на первое число месяца, следующего за отчетным кварталом. (</w:t>
            </w:r>
            <w:proofErr w:type="spellStart"/>
            <w:r>
              <w:rPr>
                <w:lang w:eastAsia="ar-SA"/>
              </w:rPr>
              <w:t>Основание</w:t>
            </w:r>
            <w:proofErr w:type="gramStart"/>
            <w:r>
              <w:rPr>
                <w:lang w:eastAsia="ar-SA"/>
              </w:rPr>
              <w:t>:П</w:t>
            </w:r>
            <w:proofErr w:type="gramEnd"/>
            <w:r>
              <w:rPr>
                <w:lang w:eastAsia="ar-SA"/>
              </w:rPr>
              <w:t>исьмо</w:t>
            </w:r>
            <w:proofErr w:type="spellEnd"/>
            <w:r>
              <w:rPr>
                <w:lang w:eastAsia="ar-SA"/>
              </w:rPr>
              <w:t xml:space="preserve"> Минфина России от 18.09.2012 № 02-06-07/3798).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6. Расчеты по обязательствам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расчеты с работниками по оплате труда и прочим выплатам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начисление к выплате вознаграждений лицам по договорам гражданско-правового характера осуществляется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7. Учет расчетов, дебиторской и кредиторской задолженности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дебиторская задолженность, срок исковой давности которой истек, списывается по результатам инвентаризации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учет списанной задолженности на </w:t>
            </w:r>
            <w:proofErr w:type="spellStart"/>
            <w:r>
              <w:rPr>
                <w:lang w:eastAsia="ar-SA"/>
              </w:rPr>
              <w:t>забалансовом</w:t>
            </w:r>
            <w:proofErr w:type="spellEnd"/>
            <w:r>
              <w:rPr>
                <w:lang w:eastAsia="ar-SA"/>
              </w:rPr>
              <w:t xml:space="preserve"> счете 04.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кредиторская задолженность, срок исковой давности которой истек, списывается с баланса по результатам инвентаризации.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учет списанной кредиторской задолженности ведется на </w:t>
            </w:r>
            <w:proofErr w:type="spellStart"/>
            <w:r>
              <w:rPr>
                <w:lang w:eastAsia="ar-SA"/>
              </w:rPr>
              <w:t>забалансовом</w:t>
            </w:r>
            <w:proofErr w:type="spellEnd"/>
            <w:r>
              <w:rPr>
                <w:lang w:eastAsia="ar-SA"/>
              </w:rPr>
              <w:t xml:space="preserve"> счете 20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8. Финансовый результат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Начисление доходов в виде субсидии на выполнение государственного задания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 Начисление доходов в виде субсидий на иные цели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Начисление дохода от оказания платных услуг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Начисление дохода от аренды помещения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Начисление дохода от реализации товаров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Доходы от реализации нефинансовых активов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• Доходы от возмещения ущерба.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</w:t>
            </w:r>
            <w:proofErr w:type="gramStart"/>
            <w:r>
              <w:rPr>
                <w:lang w:eastAsia="ar-SA"/>
              </w:rPr>
              <w:t>Доходы</w:t>
            </w:r>
            <w:proofErr w:type="gramEnd"/>
            <w:r>
              <w:rPr>
                <w:lang w:eastAsia="ar-SA"/>
              </w:rPr>
              <w:t xml:space="preserve"> полученные по договорам дарения, пожертвования;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</w:t>
            </w:r>
            <w:proofErr w:type="gramStart"/>
            <w:r>
              <w:rPr>
                <w:lang w:eastAsia="ar-SA"/>
              </w:rPr>
              <w:t>Доходы</w:t>
            </w:r>
            <w:proofErr w:type="gramEnd"/>
            <w:r>
              <w:rPr>
                <w:lang w:eastAsia="ar-SA"/>
              </w:rPr>
              <w:t xml:space="preserve"> полученные в виде грантов, за исключением грантов, полученных в виде субсидии, в том числе на конкурсной основе.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9. Порядок учета на </w:t>
            </w:r>
            <w:proofErr w:type="spellStart"/>
            <w:r>
              <w:rPr>
                <w:lang w:eastAsia="ar-SA"/>
              </w:rPr>
              <w:t>забалансовых</w:t>
            </w:r>
            <w:proofErr w:type="spellEnd"/>
            <w:r>
              <w:rPr>
                <w:lang w:eastAsia="ar-SA"/>
              </w:rPr>
              <w:t xml:space="preserve"> счетах.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• счета </w:t>
            </w:r>
            <w:proofErr w:type="spellStart"/>
            <w:r>
              <w:rPr>
                <w:lang w:eastAsia="ar-SA"/>
              </w:rPr>
              <w:t>забалансового</w:t>
            </w:r>
            <w:proofErr w:type="spellEnd"/>
            <w:r>
              <w:rPr>
                <w:lang w:eastAsia="ar-SA"/>
              </w:rPr>
              <w:t xml:space="preserve"> учета применяются в соответствии с положениями инструкций №157н, №174н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10. Учет себестоимости оказания услуг, выполненных работ.</w:t>
            </w:r>
          </w:p>
          <w:p w:rsidR="000D5D53" w:rsidRDefault="000D5D53" w:rsidP="000D5D53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Порядок деления затрат на изготовление готовой продукции (выполнение работ, оказание услуг) на прямые и накладные расходы, распределение общехозяйственных расходов на себестоимость оказанной услуги, выполненной работы.</w:t>
            </w: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</w:p>
          <w:p w:rsidR="000D5D53" w:rsidRDefault="000D5D53" w:rsidP="000D5D53">
            <w:pPr>
              <w:suppressAutoHyphens/>
              <w:jc w:val="both"/>
              <w:rPr>
                <w:lang w:eastAsia="ar-SA"/>
              </w:rPr>
            </w:pPr>
          </w:p>
          <w:p w:rsidR="00B24C06" w:rsidRPr="00B60AB6" w:rsidRDefault="00B24C06" w:rsidP="00C41712">
            <w:pPr>
              <w:suppressAutoHyphens/>
              <w:jc w:val="both"/>
              <w:rPr>
                <w:lang w:eastAsia="ar-SA"/>
              </w:rPr>
            </w:pPr>
          </w:p>
        </w:tc>
      </w:tr>
      <w:tr w:rsidR="00C41712" w:rsidRPr="00B60AB6" w:rsidTr="00B24C06">
        <w:tc>
          <w:tcPr>
            <w:tcW w:w="3119" w:type="dxa"/>
          </w:tcPr>
          <w:p w:rsidR="00C41712" w:rsidRPr="00B60AB6" w:rsidRDefault="0077081F" w:rsidP="00C4171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  <w:r w:rsidRPr="0077081F">
              <w:rPr>
                <w:lang w:eastAsia="ar-SA"/>
              </w:rPr>
              <w:t>Общие принципы ведения налогового учета</w:t>
            </w:r>
          </w:p>
        </w:tc>
        <w:tc>
          <w:tcPr>
            <w:tcW w:w="7195" w:type="dxa"/>
          </w:tcPr>
          <w:p w:rsidR="0077081F" w:rsidRDefault="0077081F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Раздел содержит:</w:t>
            </w:r>
          </w:p>
          <w:p w:rsidR="0077081F" w:rsidRDefault="00C819DB" w:rsidP="0077081F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перечень нормативно-</w:t>
            </w:r>
            <w:r w:rsidR="0077081F">
              <w:rPr>
                <w:lang w:eastAsia="ar-SA"/>
              </w:rPr>
              <w:t xml:space="preserve">актов Российской Федерации, </w:t>
            </w:r>
            <w:proofErr w:type="gramStart"/>
            <w:r w:rsidR="0077081F">
              <w:rPr>
                <w:lang w:eastAsia="ar-SA"/>
              </w:rPr>
              <w:t>устанавливающих</w:t>
            </w:r>
            <w:proofErr w:type="gramEnd"/>
            <w:r w:rsidR="0077081F">
              <w:rPr>
                <w:lang w:eastAsia="ar-SA"/>
              </w:rPr>
              <w:t xml:space="preserve"> правовые основы организации и ведения  налогового учета,</w:t>
            </w:r>
          </w:p>
          <w:p w:rsidR="0077081F" w:rsidRDefault="0077081F" w:rsidP="001F5F43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правила организации бухгалтерского учета для целей налогового учета,</w:t>
            </w:r>
          </w:p>
          <w:p w:rsidR="0077081F" w:rsidRDefault="0077081F" w:rsidP="001F5F43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особенности учета затрат, отнесения их к прямым затратам,</w:t>
            </w:r>
          </w:p>
          <w:p w:rsidR="0077081F" w:rsidRDefault="0077081F" w:rsidP="001F5F43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правила и методы  признания доходов и расходов для целей налогообложения</w:t>
            </w:r>
          </w:p>
          <w:p w:rsidR="0077081F" w:rsidRDefault="0077081F" w:rsidP="001F5F43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определение  ответственных за постановку и ведение налогового учета (Основание: ст. 313 НК РФ).</w:t>
            </w:r>
          </w:p>
          <w:p w:rsidR="0077081F" w:rsidRDefault="0077081F" w:rsidP="0077081F">
            <w:pPr>
              <w:suppressAutoHyphens/>
              <w:jc w:val="both"/>
              <w:rPr>
                <w:lang w:eastAsia="ar-SA"/>
              </w:rPr>
            </w:pPr>
          </w:p>
          <w:p w:rsidR="0077081F" w:rsidRDefault="001F5F43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1. Налог на прибыль</w:t>
            </w:r>
          </w:p>
          <w:p w:rsidR="0077081F" w:rsidRDefault="0077081F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1F5F43">
              <w:rPr>
                <w:lang w:eastAsia="ar-SA"/>
              </w:rPr>
              <w:t xml:space="preserve"> Налог на добавленную стоимость</w:t>
            </w:r>
          </w:p>
          <w:p w:rsidR="0077081F" w:rsidRDefault="0077081F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3. Налог на д</w:t>
            </w:r>
            <w:r w:rsidR="001F5F43">
              <w:rPr>
                <w:lang w:eastAsia="ar-SA"/>
              </w:rPr>
              <w:t>оходы физических лиц (НДФЛ)</w:t>
            </w:r>
          </w:p>
          <w:p w:rsidR="0077081F" w:rsidRDefault="0077081F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4. Страховые взносы</w:t>
            </w:r>
          </w:p>
          <w:p w:rsidR="0077081F" w:rsidRDefault="001F5F43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5. Налог на имущество</w:t>
            </w:r>
          </w:p>
          <w:p w:rsidR="00111A32" w:rsidRPr="00B60AB6" w:rsidRDefault="0077081F" w:rsidP="0077081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6. Транспортный налог</w:t>
            </w:r>
          </w:p>
        </w:tc>
      </w:tr>
    </w:tbl>
    <w:p w:rsidR="00781C3C" w:rsidRPr="00B60AB6" w:rsidRDefault="00781C3C" w:rsidP="00B24C06">
      <w:pPr>
        <w:jc w:val="center"/>
      </w:pPr>
    </w:p>
    <w:sectPr w:rsidR="00781C3C" w:rsidRPr="00B60AB6" w:rsidSect="0078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354"/>
    <w:multiLevelType w:val="hybridMultilevel"/>
    <w:tmpl w:val="F082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3E7C"/>
    <w:multiLevelType w:val="hybridMultilevel"/>
    <w:tmpl w:val="9F20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563F"/>
    <w:multiLevelType w:val="hybridMultilevel"/>
    <w:tmpl w:val="F6B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640"/>
    <w:multiLevelType w:val="hybridMultilevel"/>
    <w:tmpl w:val="9B0C9D8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74104DAC"/>
    <w:multiLevelType w:val="hybridMultilevel"/>
    <w:tmpl w:val="770A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7DE0"/>
    <w:multiLevelType w:val="hybridMultilevel"/>
    <w:tmpl w:val="FB64D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2"/>
    <w:rsid w:val="0001362E"/>
    <w:rsid w:val="00050BA5"/>
    <w:rsid w:val="00053B73"/>
    <w:rsid w:val="000D5D53"/>
    <w:rsid w:val="00111A32"/>
    <w:rsid w:val="001425FC"/>
    <w:rsid w:val="001722B9"/>
    <w:rsid w:val="001F5F43"/>
    <w:rsid w:val="002B03BA"/>
    <w:rsid w:val="0033793B"/>
    <w:rsid w:val="00375169"/>
    <w:rsid w:val="003A1E5B"/>
    <w:rsid w:val="004733F5"/>
    <w:rsid w:val="00616D0C"/>
    <w:rsid w:val="0062322F"/>
    <w:rsid w:val="0077081F"/>
    <w:rsid w:val="00781C3C"/>
    <w:rsid w:val="00791991"/>
    <w:rsid w:val="00820E59"/>
    <w:rsid w:val="00B24C06"/>
    <w:rsid w:val="00B464C4"/>
    <w:rsid w:val="00B60AB6"/>
    <w:rsid w:val="00C41712"/>
    <w:rsid w:val="00C72B4D"/>
    <w:rsid w:val="00C819DB"/>
    <w:rsid w:val="00D02F57"/>
    <w:rsid w:val="00D1251F"/>
    <w:rsid w:val="00DB0533"/>
    <w:rsid w:val="00E55FB0"/>
    <w:rsid w:val="00F032C8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1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6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1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6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ДШИГАРМОНИЯ</dc:creator>
  <cp:lastModifiedBy>RePack by Diakov</cp:lastModifiedBy>
  <cp:revision>2</cp:revision>
  <cp:lastPrinted>2019-07-02T12:24:00Z</cp:lastPrinted>
  <dcterms:created xsi:type="dcterms:W3CDTF">2021-08-10T07:23:00Z</dcterms:created>
  <dcterms:modified xsi:type="dcterms:W3CDTF">2021-08-10T07:23:00Z</dcterms:modified>
</cp:coreProperties>
</file>